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LESSON PLAN COVER SHEET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C73DF3">
        <w:rPr>
          <w:rFonts w:ascii="Palatino" w:hAnsi="Palatino"/>
        </w:rPr>
        <w:t xml:space="preserve">    Search and Seizure</w:t>
      </w:r>
      <w:r w:rsidR="00C73DF3">
        <w:rPr>
          <w:rFonts w:ascii="Palatino" w:hAnsi="Palatino"/>
        </w:rPr>
        <w:tab/>
      </w:r>
      <w:r w:rsidR="00C73DF3">
        <w:rPr>
          <w:rFonts w:ascii="Palatino" w:hAnsi="Palatino"/>
        </w:rPr>
        <w:tab/>
      </w:r>
      <w:r w:rsidR="00C73DF3">
        <w:rPr>
          <w:rFonts w:ascii="Palatino" w:hAnsi="Palatino"/>
        </w:rPr>
        <w:tab/>
      </w:r>
      <w:r w:rsidR="00C73DF3">
        <w:rPr>
          <w:rFonts w:ascii="Palatino" w:hAnsi="Palatino"/>
        </w:rPr>
        <w:tab/>
      </w:r>
      <w:r>
        <w:rPr>
          <w:rFonts w:ascii="Palatino" w:hAnsi="Palatino"/>
        </w:rPr>
        <w:t>UNIT: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INSTRUCTOR(S):</w:t>
      </w:r>
      <w:r w:rsidR="00C73DF3">
        <w:rPr>
          <w:rFonts w:ascii="Palatino" w:hAnsi="Palatino"/>
        </w:rPr>
        <w:t xml:space="preserve">  Dan Tiller</w:t>
      </w:r>
      <w:r w:rsidR="00C73DF3">
        <w:rPr>
          <w:rFonts w:ascii="Palatino" w:hAnsi="Palatino"/>
        </w:rPr>
        <w:tab/>
      </w:r>
      <w:r w:rsidR="00C73DF3">
        <w:rPr>
          <w:rFonts w:ascii="Palatino" w:hAnsi="Palatino"/>
        </w:rPr>
        <w:tab/>
      </w:r>
      <w:r>
        <w:rPr>
          <w:rFonts w:ascii="Palatino" w:hAnsi="Palatino"/>
        </w:rPr>
        <w:t>PHONE:</w:t>
      </w:r>
      <w:r w:rsidR="00C73DF3">
        <w:rPr>
          <w:rFonts w:ascii="Palatino" w:hAnsi="Palatino"/>
        </w:rPr>
        <w:t xml:space="preserve">  210/722-0350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TIME ALLOTTED:</w:t>
      </w:r>
      <w:r w:rsidR="00C73DF3">
        <w:rPr>
          <w:rFonts w:ascii="Palatino" w:hAnsi="Palatino"/>
        </w:rPr>
        <w:t xml:space="preserve">  4-5 Hours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INSTRUCTIONAL AIDS:</w:t>
      </w:r>
      <w:r w:rsidR="00C73DF3">
        <w:rPr>
          <w:rFonts w:ascii="Palatino" w:hAnsi="Palatino"/>
        </w:rPr>
        <w:t xml:space="preserve">  Power Point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STUDENT MATERIALS:</w:t>
      </w:r>
      <w:r w:rsidR="00C73DF3">
        <w:rPr>
          <w:rFonts w:ascii="Palatino" w:hAnsi="Palatino"/>
        </w:rPr>
        <w:t xml:space="preserve">  Handouts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PREREQUISITE EXPERIENCE OF THE LEARNERS:</w:t>
      </w:r>
      <w:r w:rsidR="00C73DF3">
        <w:rPr>
          <w:rFonts w:ascii="Palatino" w:hAnsi="Palatino"/>
        </w:rPr>
        <w:t xml:space="preserve">  none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C73DF3" w:rsidP="00040667">
      <w:pPr>
        <w:widowControl/>
        <w:jc w:val="both"/>
        <w:rPr>
          <w:rFonts w:ascii="Palatino" w:hAnsi="Palatino"/>
        </w:rPr>
      </w:pPr>
      <w:proofErr w:type="gramStart"/>
      <w:r>
        <w:rPr>
          <w:rFonts w:ascii="Palatino" w:hAnsi="Palatino"/>
        </w:rPr>
        <w:t>GOAL :</w:t>
      </w:r>
      <w:proofErr w:type="gramEnd"/>
      <w:r>
        <w:rPr>
          <w:rFonts w:ascii="Palatino" w:hAnsi="Palatino"/>
        </w:rPr>
        <w:t xml:space="preserve">  To ensure that officers, when conducting a search, will do so according to appellate court case guidelines, limitations of intrusiveness, and safety issues.   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t>DATE PREPARED:</w:t>
      </w:r>
      <w:r w:rsidR="00C73DF3">
        <w:rPr>
          <w:rFonts w:ascii="Palatino" w:hAnsi="Palatino"/>
        </w:rPr>
        <w:t xml:space="preserve">  3/26/09</w:t>
      </w:r>
      <w:r>
        <w:rPr>
          <w:rFonts w:ascii="Palatino" w:hAnsi="Palatino"/>
        </w:rPr>
        <w:tab/>
        <w:t>DATE REVISED: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lastRenderedPageBreak/>
        <w:t>PREPARED BY:</w:t>
      </w:r>
      <w:r w:rsidR="00C73DF3">
        <w:rPr>
          <w:rFonts w:ascii="Palatino" w:hAnsi="Palatino"/>
        </w:rPr>
        <w:t xml:space="preserve">  Dan Tiller</w:t>
      </w:r>
      <w:r>
        <w:rPr>
          <w:rFonts w:ascii="Palatino" w:hAnsi="Palatino"/>
        </w:rPr>
        <w:tab/>
        <w:t>REVISED BY: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INSTRUCTOR LESSON PLAN</w:t>
      </w:r>
    </w:p>
    <w:p w:rsidR="00040667" w:rsidRDefault="00040667" w:rsidP="00040667">
      <w:pPr>
        <w:widowControl/>
        <w:jc w:val="both"/>
        <w:rPr>
          <w:rFonts w:ascii="Palatino" w:hAnsi="Palatino"/>
          <w:b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C73DF3">
        <w:rPr>
          <w:rFonts w:ascii="Palatino" w:hAnsi="Palatino"/>
        </w:rPr>
        <w:t xml:space="preserve">  Search and Seizure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UNIT: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C73DF3" w:rsidRDefault="00040667" w:rsidP="00C73DF3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>LESSON OBJECTIVES</w:t>
      </w:r>
      <w:r w:rsidR="00C73DF3">
        <w:rPr>
          <w:rFonts w:ascii="Palatino" w:hAnsi="Palatino"/>
        </w:rPr>
        <w:t>:</w:t>
      </w:r>
    </w:p>
    <w:p w:rsidR="00F66978" w:rsidRDefault="00F66978" w:rsidP="00C73DF3">
      <w:pPr>
        <w:widowControl/>
        <w:ind w:left="2880" w:hanging="2880"/>
        <w:jc w:val="both"/>
        <w:rPr>
          <w:rFonts w:ascii="Palatino" w:hAnsi="Palatino"/>
        </w:rPr>
      </w:pPr>
    </w:p>
    <w:p w:rsidR="00000000" w:rsidRDefault="00B30083" w:rsidP="00F66978">
      <w:pPr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F66978">
        <w:rPr>
          <w:rFonts w:ascii="Palatino" w:hAnsi="Palatino"/>
        </w:rPr>
        <w:t>Learning objective: The student will be able to explain the T.L.O. v. New Jersey court case.</w:t>
      </w:r>
    </w:p>
    <w:p w:rsidR="00F66978" w:rsidRPr="00F66978" w:rsidRDefault="00F66978" w:rsidP="00F66978">
      <w:pPr>
        <w:widowControl/>
        <w:ind w:left="720"/>
        <w:jc w:val="both"/>
        <w:rPr>
          <w:rFonts w:ascii="Palatino" w:hAnsi="Palatino"/>
        </w:rPr>
      </w:pPr>
    </w:p>
    <w:p w:rsidR="00000000" w:rsidRDefault="00B30083" w:rsidP="00F66978">
      <w:pPr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F66978">
        <w:rPr>
          <w:rFonts w:ascii="Palatino" w:hAnsi="Palatino"/>
        </w:rPr>
        <w:t>Learning objective: The student will be able to explain the difference between “probab</w:t>
      </w:r>
      <w:r w:rsidR="00F66978">
        <w:rPr>
          <w:rFonts w:ascii="Palatino" w:hAnsi="Palatino"/>
        </w:rPr>
        <w:t>le cause” and “reasonable cause.”</w:t>
      </w:r>
    </w:p>
    <w:p w:rsidR="00F66978" w:rsidRPr="00F66978" w:rsidRDefault="00F66978" w:rsidP="00F66978">
      <w:pPr>
        <w:widowControl/>
        <w:jc w:val="both"/>
        <w:rPr>
          <w:rFonts w:ascii="Palatino" w:hAnsi="Palatino"/>
        </w:rPr>
      </w:pPr>
    </w:p>
    <w:p w:rsidR="00F66978" w:rsidRDefault="00B30083" w:rsidP="00F66978">
      <w:pPr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F66978">
        <w:rPr>
          <w:rFonts w:ascii="Palatino" w:hAnsi="Palatino"/>
        </w:rPr>
        <w:t xml:space="preserve">Learning objective: The student will be able to explain the “Plain View Doctrine” as it </w:t>
      </w:r>
      <w:r w:rsidRPr="00F66978">
        <w:rPr>
          <w:rFonts w:ascii="Palatino" w:hAnsi="Palatino"/>
        </w:rPr>
        <w:t>applies to searches.</w:t>
      </w:r>
    </w:p>
    <w:p w:rsidR="00F66978" w:rsidRDefault="00F66978" w:rsidP="00F66978">
      <w:pPr>
        <w:pStyle w:val="ListParagraph"/>
        <w:rPr>
          <w:rFonts w:ascii="Palatino" w:hAnsi="Palatino"/>
        </w:rPr>
      </w:pPr>
    </w:p>
    <w:p w:rsidR="00F66978" w:rsidRDefault="00F66978" w:rsidP="00F66978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F66978">
        <w:rPr>
          <w:rFonts w:ascii="Palatino" w:hAnsi="Palatino"/>
        </w:rPr>
        <w:t>Learning objective: The student will be able to explain when they may use “reasonable cause” to conduct a search.</w:t>
      </w:r>
    </w:p>
    <w:p w:rsidR="00F66978" w:rsidRPr="00F66978" w:rsidRDefault="00F66978" w:rsidP="00F66978">
      <w:pPr>
        <w:pStyle w:val="ListParagraph"/>
        <w:rPr>
          <w:rFonts w:ascii="Palatino" w:hAnsi="Palatino"/>
        </w:rPr>
      </w:pPr>
    </w:p>
    <w:p w:rsidR="00000000" w:rsidRDefault="00B30083" w:rsidP="00F66978">
      <w:pPr>
        <w:pStyle w:val="ListParagraph"/>
        <w:numPr>
          <w:ilvl w:val="0"/>
          <w:numId w:val="1"/>
        </w:numPr>
        <w:jc w:val="both"/>
        <w:rPr>
          <w:rFonts w:ascii="Palatino" w:hAnsi="Palatino"/>
        </w:rPr>
      </w:pPr>
      <w:r w:rsidRPr="00F66978">
        <w:rPr>
          <w:rFonts w:ascii="Palatino" w:hAnsi="Palatino"/>
        </w:rPr>
        <w:t>Learning objective: The student will be able to explain the scope and intrusion level of a search.</w:t>
      </w:r>
    </w:p>
    <w:p w:rsidR="00F66978" w:rsidRPr="00F66978" w:rsidRDefault="00F66978" w:rsidP="00F66978">
      <w:pPr>
        <w:jc w:val="both"/>
        <w:rPr>
          <w:rFonts w:ascii="Palatino" w:hAnsi="Palatino"/>
        </w:rPr>
      </w:pPr>
    </w:p>
    <w:p w:rsidR="00000000" w:rsidRDefault="00B30083" w:rsidP="00F66978">
      <w:pPr>
        <w:pStyle w:val="ListParagraph"/>
        <w:numPr>
          <w:ilvl w:val="0"/>
          <w:numId w:val="1"/>
        </w:numPr>
        <w:jc w:val="both"/>
        <w:rPr>
          <w:rFonts w:ascii="Palatino" w:hAnsi="Palatino"/>
        </w:rPr>
      </w:pPr>
      <w:r w:rsidRPr="00F66978">
        <w:rPr>
          <w:rFonts w:ascii="Palatino" w:hAnsi="Palatino"/>
        </w:rPr>
        <w:t>Learning objective:</w:t>
      </w:r>
      <w:r w:rsidRPr="00F66978">
        <w:rPr>
          <w:rFonts w:ascii="Palatino" w:hAnsi="Palatino"/>
        </w:rPr>
        <w:t xml:space="preserve"> The student will be able to explain when a “stop and frisk” is justified.</w:t>
      </w:r>
    </w:p>
    <w:p w:rsidR="00F66978" w:rsidRPr="00F66978" w:rsidRDefault="00F66978" w:rsidP="00F66978">
      <w:pPr>
        <w:jc w:val="both"/>
        <w:rPr>
          <w:rFonts w:ascii="Palatino" w:hAnsi="Palatino"/>
        </w:rPr>
      </w:pPr>
    </w:p>
    <w:p w:rsidR="00000000" w:rsidRDefault="00B30083" w:rsidP="00F66978">
      <w:pPr>
        <w:pStyle w:val="ListParagraph"/>
        <w:numPr>
          <w:ilvl w:val="0"/>
          <w:numId w:val="1"/>
        </w:numPr>
        <w:jc w:val="both"/>
        <w:rPr>
          <w:rFonts w:ascii="Palatino" w:hAnsi="Palatino"/>
        </w:rPr>
      </w:pPr>
      <w:r w:rsidRPr="00F66978">
        <w:rPr>
          <w:rFonts w:ascii="Palatino" w:hAnsi="Palatino"/>
        </w:rPr>
        <w:t xml:space="preserve">Learning objective: The student will be able to </w:t>
      </w:r>
      <w:proofErr w:type="gramStart"/>
      <w:r w:rsidRPr="00F66978">
        <w:rPr>
          <w:rFonts w:ascii="Palatino" w:hAnsi="Palatino"/>
        </w:rPr>
        <w:t>Explain</w:t>
      </w:r>
      <w:proofErr w:type="gramEnd"/>
      <w:r w:rsidRPr="00F66978">
        <w:rPr>
          <w:rFonts w:ascii="Palatino" w:hAnsi="Palatino"/>
        </w:rPr>
        <w:t xml:space="preserve"> the “Plain View Doctrine” as it applies to searches.</w:t>
      </w:r>
    </w:p>
    <w:p w:rsidR="00F66978" w:rsidRPr="00F66978" w:rsidRDefault="00F66978" w:rsidP="00F66978">
      <w:pPr>
        <w:jc w:val="both"/>
        <w:rPr>
          <w:rFonts w:ascii="Palatino" w:hAnsi="Palatino"/>
        </w:rPr>
      </w:pPr>
    </w:p>
    <w:p w:rsidR="00000000" w:rsidRPr="00F66978" w:rsidRDefault="00B30083" w:rsidP="00F66978">
      <w:pPr>
        <w:pStyle w:val="ListParagraph"/>
        <w:numPr>
          <w:ilvl w:val="0"/>
          <w:numId w:val="1"/>
        </w:numPr>
        <w:jc w:val="both"/>
        <w:rPr>
          <w:rFonts w:ascii="Palatino" w:hAnsi="Palatino"/>
        </w:rPr>
      </w:pPr>
      <w:r w:rsidRPr="00F66978">
        <w:rPr>
          <w:rFonts w:ascii="Palatino" w:hAnsi="Palatino"/>
        </w:rPr>
        <w:t xml:space="preserve">Learning objective: The student will be able to explain the degree of </w:t>
      </w:r>
      <w:r w:rsidRPr="00F66978">
        <w:rPr>
          <w:rFonts w:ascii="Palatino" w:hAnsi="Palatino"/>
        </w:rPr>
        <w:t>force which can be used to conduct a search.</w:t>
      </w:r>
    </w:p>
    <w:p w:rsidR="00F66978" w:rsidRPr="00F66978" w:rsidRDefault="00F66978" w:rsidP="00F66978">
      <w:pPr>
        <w:pStyle w:val="ListParagraph"/>
        <w:widowControl/>
        <w:jc w:val="both"/>
        <w:rPr>
          <w:rFonts w:ascii="Palatino" w:hAnsi="Palatino"/>
        </w:rPr>
      </w:pPr>
    </w:p>
    <w:p w:rsidR="00F66978" w:rsidRPr="00F66978" w:rsidRDefault="00F66978" w:rsidP="00F66978">
      <w:pPr>
        <w:widowControl/>
        <w:jc w:val="both"/>
        <w:rPr>
          <w:rFonts w:ascii="Palatino" w:hAnsi="Palatino"/>
        </w:rPr>
      </w:pPr>
    </w:p>
    <w:p w:rsidR="00C73DF3" w:rsidRDefault="00C73DF3" w:rsidP="00F66978">
      <w:pPr>
        <w:widowControl/>
        <w:jc w:val="both"/>
        <w:rPr>
          <w:rFonts w:ascii="Palatino" w:hAnsi="Palatino"/>
        </w:rPr>
      </w:pPr>
    </w:p>
    <w:p w:rsidR="00F66978" w:rsidRDefault="00F66978" w:rsidP="00F66978">
      <w:pPr>
        <w:widowControl/>
        <w:jc w:val="both"/>
        <w:rPr>
          <w:rFonts w:ascii="Palatino" w:hAnsi="Palatino"/>
        </w:rPr>
      </w:pPr>
    </w:p>
    <w:p w:rsidR="00C73DF3" w:rsidRDefault="00C73DF3" w:rsidP="00C73DF3">
      <w:pPr>
        <w:widowControl/>
        <w:ind w:left="2880" w:hanging="2880"/>
        <w:jc w:val="both"/>
        <w:rPr>
          <w:rFonts w:ascii="Palatino" w:hAnsi="Palatino"/>
        </w:rPr>
      </w:pPr>
    </w:p>
    <w:p w:rsidR="00C73DF3" w:rsidRDefault="00C73DF3" w:rsidP="00C73DF3">
      <w:pPr>
        <w:widowControl/>
        <w:ind w:left="2880" w:hanging="2880"/>
        <w:jc w:val="both"/>
        <w:rPr>
          <w:rFonts w:ascii="Palatino" w:hAnsi="Palatino"/>
        </w:rPr>
      </w:pPr>
    </w:p>
    <w:p w:rsidR="00C73DF3" w:rsidRDefault="00C73DF3" w:rsidP="00C73DF3">
      <w:pPr>
        <w:widowControl/>
        <w:ind w:left="2880" w:hanging="2880"/>
        <w:jc w:val="both"/>
        <w:rPr>
          <w:rFonts w:ascii="Palatino" w:hAnsi="Palatino"/>
          <w:b/>
        </w:rPr>
      </w:pP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lastRenderedPageBreak/>
        <w:t>INSTRUCTOR'S LESSON PLAN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I.</w:t>
      </w:r>
      <w:r>
        <w:rPr>
          <w:rFonts w:ascii="Palatino" w:hAnsi="Palatino"/>
        </w:rPr>
        <w:tab/>
        <w:t>PREPARATION</w:t>
      </w:r>
      <w:r>
        <w:rPr>
          <w:rFonts w:ascii="Palatino" w:hAnsi="Palatino"/>
        </w:rPr>
        <w:tab/>
      </w:r>
      <w:proofErr w:type="gramStart"/>
      <w:r w:rsidR="00F66978">
        <w:rPr>
          <w:rFonts w:ascii="Palatino" w:hAnsi="Palatino"/>
        </w:rPr>
        <w:t>Most</w:t>
      </w:r>
      <w:proofErr w:type="gramEnd"/>
      <w:r w:rsidR="00F66978">
        <w:rPr>
          <w:rFonts w:ascii="Palatino" w:hAnsi="Palatino"/>
        </w:rPr>
        <w:t xml:space="preserve"> officers do not know that they can piggy-back on the authority of school administrators under certain situations by functioning as their agents.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II.</w:t>
      </w:r>
      <w:r>
        <w:rPr>
          <w:rFonts w:ascii="Palatino" w:hAnsi="Palatino"/>
        </w:rPr>
        <w:tab/>
        <w:t>PRESENTATION</w:t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66978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KEY TOPIC POINTS</w:t>
      </w:r>
      <w:r w:rsidR="00F66978">
        <w:rPr>
          <w:rFonts w:ascii="Palatino" w:hAnsi="Palatino"/>
        </w:rPr>
        <w:t>:</w:t>
      </w:r>
    </w:p>
    <w:p w:rsidR="00F66978" w:rsidRDefault="00F6697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66978" w:rsidRDefault="00F6697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 xml:space="preserve">Civil Rights </w:t>
      </w:r>
      <w:proofErr w:type="spellStart"/>
      <w:r>
        <w:rPr>
          <w:rFonts w:ascii="Palatino" w:hAnsi="Palatino"/>
        </w:rPr>
        <w:t>vs</w:t>
      </w:r>
      <w:proofErr w:type="spellEnd"/>
      <w:r>
        <w:rPr>
          <w:rFonts w:ascii="Palatino" w:hAnsi="Palatino"/>
        </w:rPr>
        <w:t xml:space="preserve"> Safety Issues </w:t>
      </w:r>
    </w:p>
    <w:p w:rsidR="00F66978" w:rsidRDefault="00F6697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  <w:t>Which is most important in a school setting?</w:t>
      </w:r>
    </w:p>
    <w:p w:rsidR="00F66978" w:rsidRDefault="00F6697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66978" w:rsidRDefault="00F6697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Establishing an “Agency”</w:t>
      </w:r>
    </w:p>
    <w:p w:rsidR="00F66978" w:rsidRDefault="00F6697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  <w:t>Proper documentation</w:t>
      </w:r>
    </w:p>
    <w:p w:rsidR="00854CD3" w:rsidRDefault="00854CD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  <w:t>In Re Boykin</w:t>
      </w:r>
    </w:p>
    <w:p w:rsidR="00C616C3" w:rsidRDefault="00C616C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In Re Fred C.</w:t>
      </w:r>
      <w:proofErr w:type="gramEnd"/>
    </w:p>
    <w:p w:rsidR="00C616C3" w:rsidRDefault="00C616C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</w:r>
    </w:p>
    <w:p w:rsidR="00F66978" w:rsidRDefault="00F6697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66978" w:rsidRDefault="00F6697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 xml:space="preserve">What is “Presumption of Regularity” – An axiom recognized by the </w:t>
      </w:r>
      <w:proofErr w:type="gramStart"/>
      <w:r>
        <w:rPr>
          <w:rFonts w:ascii="Palatino" w:hAnsi="Palatino"/>
        </w:rPr>
        <w:t>Courts</w:t>
      </w:r>
      <w:proofErr w:type="gramEnd"/>
    </w:p>
    <w:p w:rsidR="00F66978" w:rsidRDefault="00F6697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66978" w:rsidRDefault="00F6697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Avoiding liability issues</w:t>
      </w:r>
    </w:p>
    <w:p w:rsidR="00F66978" w:rsidRDefault="00F6697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66978" w:rsidRDefault="00F6697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 xml:space="preserve">“Probable Cause” </w:t>
      </w:r>
      <w:proofErr w:type="spellStart"/>
      <w:r>
        <w:rPr>
          <w:rFonts w:ascii="Palatino" w:hAnsi="Palatino"/>
        </w:rPr>
        <w:t>vs</w:t>
      </w:r>
      <w:proofErr w:type="spellEnd"/>
      <w:r>
        <w:rPr>
          <w:rFonts w:ascii="Palatino" w:hAnsi="Palatino"/>
        </w:rPr>
        <w:t xml:space="preserve"> “Reasonable Cause”</w:t>
      </w:r>
    </w:p>
    <w:p w:rsidR="00854CD3" w:rsidRDefault="00854CD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854CD3" w:rsidRDefault="00854CD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Guidelines for School Searches</w:t>
      </w:r>
    </w:p>
    <w:p w:rsidR="00854CD3" w:rsidRDefault="00854CD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854CD3" w:rsidRDefault="00854CD3" w:rsidP="00854CD3">
      <w:pPr>
        <w:widowControl/>
        <w:pBdr>
          <w:top w:val="single" w:sz="6" w:space="1" w:color="auto"/>
          <w:bottom w:val="single" w:sz="6" w:space="1" w:color="auto"/>
        </w:pBdr>
        <w:ind w:firstLine="720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 (</w:t>
      </w:r>
      <w:proofErr w:type="spellStart"/>
      <w:r>
        <w:rPr>
          <w:rFonts w:ascii="Palatino" w:hAnsi="Palatino"/>
        </w:rPr>
        <w:t>Picha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vs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Weigos</w:t>
      </w:r>
      <w:proofErr w:type="spellEnd"/>
      <w:r>
        <w:rPr>
          <w:rFonts w:ascii="Palatino" w:hAnsi="Palatino"/>
        </w:rPr>
        <w:t xml:space="preserve"> – 1976)</w:t>
      </w:r>
    </w:p>
    <w:p w:rsidR="00854CD3" w:rsidRDefault="00854CD3" w:rsidP="00854CD3">
      <w:pPr>
        <w:widowControl/>
        <w:pBdr>
          <w:top w:val="single" w:sz="6" w:space="1" w:color="auto"/>
          <w:bottom w:val="single" w:sz="6" w:space="1" w:color="auto"/>
        </w:pBdr>
        <w:ind w:firstLine="720"/>
        <w:jc w:val="both"/>
        <w:rPr>
          <w:rFonts w:ascii="Palatino" w:hAnsi="Palatino"/>
        </w:rPr>
      </w:pPr>
    </w:p>
    <w:p w:rsidR="00854CD3" w:rsidRDefault="00854CD3" w:rsidP="00854CD3">
      <w:pPr>
        <w:widowControl/>
        <w:pBdr>
          <w:top w:val="single" w:sz="6" w:space="1" w:color="auto"/>
          <w:bottom w:val="single" w:sz="6" w:space="1" w:color="auto"/>
        </w:pBdr>
        <w:ind w:firstLine="720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 T.L.O. </w:t>
      </w:r>
      <w:proofErr w:type="spellStart"/>
      <w:r>
        <w:rPr>
          <w:rFonts w:ascii="Palatino" w:hAnsi="Palatino"/>
        </w:rPr>
        <w:t>vs</w:t>
      </w:r>
      <w:proofErr w:type="spellEnd"/>
      <w:r>
        <w:rPr>
          <w:rFonts w:ascii="Palatino" w:hAnsi="Palatino"/>
        </w:rPr>
        <w:t xml:space="preserve"> New Jersey – (1985)  </w:t>
      </w:r>
    </w:p>
    <w:p w:rsidR="00854CD3" w:rsidRDefault="00854CD3" w:rsidP="00854CD3">
      <w:pPr>
        <w:widowControl/>
        <w:pBdr>
          <w:top w:val="single" w:sz="6" w:space="1" w:color="auto"/>
          <w:bottom w:val="single" w:sz="6" w:space="1" w:color="auto"/>
        </w:pBdr>
        <w:ind w:firstLine="720"/>
        <w:jc w:val="both"/>
        <w:rPr>
          <w:rFonts w:ascii="Palatino" w:hAnsi="Palatino"/>
        </w:rPr>
      </w:pPr>
    </w:p>
    <w:p w:rsidR="00854CD3" w:rsidRDefault="00854CD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854CD3" w:rsidRDefault="00854CD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Items or areas that may be searched</w:t>
      </w:r>
    </w:p>
    <w:p w:rsidR="00854CD3" w:rsidRDefault="00854CD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854CD3" w:rsidRDefault="00854CD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Administrative searches</w:t>
      </w:r>
    </w:p>
    <w:p w:rsidR="00854CD3" w:rsidRDefault="00854CD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854CD3" w:rsidRDefault="00854CD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Anonymous tips</w:t>
      </w:r>
    </w:p>
    <w:p w:rsidR="00854CD3" w:rsidRDefault="00854CD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854CD3" w:rsidRDefault="00854CD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66978" w:rsidRDefault="00F6697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F66978" w:rsidRDefault="00F66978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lastRenderedPageBreak/>
        <w:t>III.</w:t>
      </w:r>
      <w:r>
        <w:rPr>
          <w:rFonts w:ascii="Palatino" w:hAnsi="Palatino"/>
        </w:rPr>
        <w:tab/>
        <w:t>APPLICATION:</w:t>
      </w:r>
      <w:r>
        <w:rPr>
          <w:rFonts w:ascii="Palatino" w:hAnsi="Palatino"/>
        </w:rPr>
        <w:tab/>
      </w:r>
      <w:r w:rsidR="00854CD3">
        <w:rPr>
          <w:rFonts w:ascii="Palatino" w:hAnsi="Palatino"/>
        </w:rPr>
        <w:t xml:space="preserve">Students will be divided into groups and </w:t>
      </w:r>
      <w:r w:rsidR="00B30083">
        <w:rPr>
          <w:rFonts w:ascii="Palatino" w:hAnsi="Palatino"/>
        </w:rPr>
        <w:t>each group will be assigned an appellate court case to review and discuss.  Each group will then explain their case to the rest of the class.</w:t>
      </w:r>
      <w:r w:rsidR="00854CD3">
        <w:rPr>
          <w:rFonts w:ascii="Palatino" w:hAnsi="Palatino"/>
        </w:rPr>
        <w:t xml:space="preserve"> 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>IV.</w:t>
      </w:r>
      <w:r>
        <w:rPr>
          <w:rFonts w:ascii="Palatino" w:hAnsi="Palatino"/>
        </w:rPr>
        <w:tab/>
        <w:t>EVALUATION:</w:t>
      </w:r>
      <w:r>
        <w:rPr>
          <w:rFonts w:ascii="Palatino" w:hAnsi="Palatino"/>
        </w:rPr>
        <w:tab/>
      </w:r>
      <w:r w:rsidR="00B30083">
        <w:rPr>
          <w:rFonts w:ascii="Palatino" w:hAnsi="Palatino"/>
        </w:rPr>
        <w:t>Test Questions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V.</w:t>
      </w:r>
      <w:r>
        <w:rPr>
          <w:rFonts w:ascii="Palatino" w:hAnsi="Palatino"/>
        </w:rPr>
        <w:tab/>
        <w:t>REFERENCES:</w:t>
      </w:r>
    </w:p>
    <w:p w:rsidR="00B30083" w:rsidRDefault="00B3008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B30083" w:rsidRDefault="00B3008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  <w:t>United States Supreme Court Case Decisions</w:t>
      </w:r>
    </w:p>
    <w:p w:rsidR="00B30083" w:rsidRDefault="00B30083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Texas Appellate Court Case Decisions 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sectPr w:rsidR="00040667" w:rsidSect="004D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69BC"/>
    <w:multiLevelType w:val="hybridMultilevel"/>
    <w:tmpl w:val="34EA46E2"/>
    <w:lvl w:ilvl="0" w:tplc="DF5A3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8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4F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EB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04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4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C7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8F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C5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E3254F"/>
    <w:multiLevelType w:val="hybridMultilevel"/>
    <w:tmpl w:val="4B06ACE2"/>
    <w:lvl w:ilvl="0" w:tplc="DF10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E3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A1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A3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07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EF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6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EC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AE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E1B1E6E"/>
    <w:multiLevelType w:val="hybridMultilevel"/>
    <w:tmpl w:val="1C50B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667"/>
    <w:rsid w:val="00040667"/>
    <w:rsid w:val="004D0386"/>
    <w:rsid w:val="00854CD3"/>
    <w:rsid w:val="00A81670"/>
    <w:rsid w:val="00B30083"/>
    <w:rsid w:val="00C616C3"/>
    <w:rsid w:val="00C73DF3"/>
    <w:rsid w:val="00F6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67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4C75-C2C3-4D04-B572-58012E5A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Tiller</cp:lastModifiedBy>
  <cp:revision>3</cp:revision>
  <cp:lastPrinted>2009-04-02T00:55:00Z</cp:lastPrinted>
  <dcterms:created xsi:type="dcterms:W3CDTF">2009-03-05T22:25:00Z</dcterms:created>
  <dcterms:modified xsi:type="dcterms:W3CDTF">2009-04-02T00:56:00Z</dcterms:modified>
</cp:coreProperties>
</file>